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rPr/>
      </w:pPr>
      <w:r>
        <w:rPr>
          <w:b/>
          <w:bCs/>
          <w:sz w:val="32"/>
          <w:szCs w:val="32"/>
        </w:rPr>
        <w:t>MILEIDY MARTÍNEZ CLAUDIO, MD</w:t>
      </w:r>
      <w:r>
        <w:rPr>
          <w:color w:val="555555"/>
          <w:sz w:val="18"/>
          <w:szCs w:val="18"/>
        </w:rPr>
        <w:tab/>
        <w:tab/>
        <w:tab/>
        <w:tab/>
        <w:t xml:space="preserve">                  Pedernales, República Dominicana</w:t>
      </w:r>
    </w:p>
    <w:p>
      <w:pPr>
        <w:pStyle w:val="Normal"/>
        <w:spacing w:before="0" w:after="0"/>
        <w:rPr/>
      </w:pPr>
      <w:hyperlink r:id="rId2">
        <w:r>
          <w:rPr>
            <w:rStyle w:val="Style3"/>
            <w:color w:val="1B3A6B"/>
            <w:sz w:val="18"/>
            <w:szCs w:val="18"/>
            <w:u w:val="single"/>
          </w:rPr>
          <w:t>mileidyclaudio.com</w:t>
        </w:r>
      </w:hyperlink>
      <w:r>
        <w:rPr>
          <w:color w:val="555555"/>
          <w:sz w:val="18"/>
          <w:szCs w:val="18"/>
        </w:rPr>
        <w:tab/>
        <w:tab/>
        <w:tab/>
        <w:tab/>
        <w:tab/>
        <w:tab/>
        <w:tab/>
        <w:tab/>
        <w:tab/>
        <w:tab/>
        <w:tab/>
        <w:t xml:space="preserve">          +1 829 914 6838</w:t>
      </w:r>
    </w:p>
    <w:p>
      <w:pPr>
        <w:pStyle w:val="Normal"/>
        <w:tabs>
          <w:tab w:val="clear" w:pos="720"/>
          <w:tab w:val="right" w:pos="10264" w:leader="none"/>
        </w:tabs>
        <w:spacing w:before="0" w:after="0"/>
        <w:rPr/>
      </w:pPr>
      <w:hyperlink r:id="rId3">
        <w:r>
          <w:rPr>
            <w:rStyle w:val="Style3"/>
            <w:color w:val="1B3A6B"/>
            <w:sz w:val="18"/>
            <w:szCs w:val="18"/>
            <w:u w:val="single"/>
          </w:rPr>
          <w:t>mileidymartinez20@hotmail.com</w:t>
        </w:r>
      </w:hyperlink>
      <w:r>
        <w:rPr>
          <w:color w:val="555555"/>
          <w:sz w:val="18"/>
          <w:szCs w:val="18"/>
        </w:rPr>
        <w:tab/>
        <w:t xml:space="preserve">     Doctora en Medicina · Salud Pública · Eliminación de la Malaria</w:t>
        <w:tab/>
        <w:tab/>
      </w:r>
    </w:p>
    <w:p>
      <w:pPr>
        <w:pStyle w:val="Normal"/>
        <w:pBdr>
          <w:bottom w:val="single" w:sz="6" w:space="1" w:color="000000"/>
        </w:pBdr>
        <w:spacing w:before="140" w:after="40"/>
        <w:rPr>
          <w:sz w:val="22"/>
          <w:szCs w:val="22"/>
        </w:rPr>
      </w:pPr>
      <w:r>
        <w:rPr>
          <w:b/>
          <w:bCs/>
          <w:color w:val="1B3A6B"/>
          <w:sz w:val="22"/>
          <w:szCs w:val="22"/>
        </w:rPr>
        <w:t>RESUMEN PROFESIONAL</w:t>
      </w:r>
    </w:p>
    <w:p>
      <w:pPr>
        <w:pStyle w:val="Normal"/>
        <w:spacing w:lineRule="auto" w:line="240" w:before="20" w:after="0"/>
        <w:jc w:val="center"/>
        <w:rPr>
          <w:sz w:val="20"/>
          <w:szCs w:val="20"/>
        </w:rPr>
      </w:pPr>
      <w:r>
        <w:rPr>
          <w:sz w:val="20"/>
          <w:szCs w:val="20"/>
        </w:rPr>
        <w:t>Médica con cinco años de experiencia en el sistema de salud dominicano, abarcando práctica general y coordinación de la gestión de focos de malaria. De 2022 a 2025, coordinó el trabajo operativo de eliminación de la malaria para IREM en Pedernales, fortaleciendo la estructura del programa local, gestionando focos con transmisión activa, y liderando la detección de casos, la investigación y la respuesta bajo los estándares de la OPS/OMS. Disponible para roles clínicos y de salud pública; abierta a reubicación.</w:t>
      </w:r>
    </w:p>
    <w:p>
      <w:pPr>
        <w:pStyle w:val="Normal"/>
        <w:pBdr>
          <w:bottom w:val="single" w:sz="6" w:space="1" w:color="000000"/>
        </w:pBdr>
        <w:spacing w:before="140" w:after="40"/>
        <w:rPr/>
      </w:pPr>
      <w:r>
        <w:rPr>
          <w:b/>
          <w:bCs/>
          <w:color w:val="1B3A6B"/>
          <w:sz w:val="22"/>
          <w:szCs w:val="22"/>
        </w:rPr>
        <w:t>EXPERIENCIA PROFESIONAL</w:t>
      </w:r>
    </w:p>
    <w:p>
      <w:pPr>
        <w:pStyle w:val="Normal"/>
        <w:spacing w:before="90" w:after="0"/>
        <w:rPr>
          <w:sz w:val="21"/>
          <w:szCs w:val="21"/>
        </w:rPr>
      </w:pPr>
      <w:r>
        <w:rPr>
          <w:b/>
          <w:bCs/>
          <w:sz w:val="21"/>
          <w:szCs w:val="21"/>
        </w:rPr>
        <w:t>IREM</w:t>
      </w:r>
      <w:r>
        <w:rPr>
          <w:color w:val="555555"/>
          <w:sz w:val="21"/>
          <w:szCs w:val="21"/>
        </w:rPr>
        <w:t xml:space="preserve">  Pedernales, República Dominicana</w:t>
        <w:tab/>
        <w:tab/>
        <w:tab/>
        <w:tab/>
        <w:tab/>
        <w:tab/>
        <w:tab/>
        <w:tab/>
        <w:tab/>
        <w:t>2022 – 2025</w:t>
      </w:r>
    </w:p>
    <w:p>
      <w:pPr>
        <w:pStyle w:val="Normal"/>
        <w:spacing w:before="0" w:after="20"/>
        <w:rPr>
          <w:sz w:val="21"/>
          <w:szCs w:val="21"/>
        </w:rPr>
      </w:pPr>
      <w:r>
        <w:rPr>
          <w:b/>
          <w:bCs/>
          <w:i/>
          <w:iCs/>
          <w:color w:val="1B3A6B"/>
          <w:sz w:val="21"/>
          <w:szCs w:val="21"/>
        </w:rPr>
        <w:t>CONSULTORA, COORDINACIÓN DE LA GESTIÓN DE FOCOS DE MALARIA</w:t>
      </w:r>
    </w:p>
    <w:p>
      <w:pPr>
        <w:pStyle w:val="Normal"/>
        <w:spacing w:before="0" w:after="30"/>
        <w:rPr>
          <w:sz w:val="20"/>
          <w:szCs w:val="20"/>
        </w:rPr>
      </w:pPr>
      <w:r>
        <w:rPr>
          <w:i/>
          <w:iCs/>
          <w:color w:val="333333"/>
          <w:sz w:val="20"/>
          <w:szCs w:val="20"/>
        </w:rPr>
        <w:t>Fortaleció la estructura operativa del programa de malaria a nivel local a través de estrategias e instrumentos para la gestión de focos con transmisión activa.</w:t>
      </w:r>
    </w:p>
    <w:p>
      <w:pPr>
        <w:pStyle w:val="ListParagraph"/>
        <w:numPr>
          <w:ilvl w:val="0"/>
          <w:numId w:val="4"/>
        </w:numPr>
        <w:spacing w:lineRule="auto" w:line="240" w:before="0" w:after="30"/>
        <w:rPr>
          <w:sz w:val="20"/>
          <w:szCs w:val="20"/>
        </w:rPr>
      </w:pPr>
      <w:r>
        <w:rPr>
          <w:sz w:val="20"/>
          <w:szCs w:val="20"/>
        </w:rPr>
        <w:t>Coordinó y planificó las actividades de detección, diagnóstico, investigación y respuesta de casos de malaria (estrategia DTI-R de la OPS/OMS), asegurando la notificación oportuna a través de los subsistemas CECOVEZ y SINAVE con altos estándares de oportunidad, integridad y exactitud.</w:t>
      </w:r>
    </w:p>
    <w:p>
      <w:pPr>
        <w:pStyle w:val="ListParagraph"/>
        <w:numPr>
          <w:ilvl w:val="0"/>
          <w:numId w:val="2"/>
        </w:numPr>
        <w:spacing w:lineRule="auto" w:line="240" w:before="0" w:after="30"/>
        <w:rPr>
          <w:sz w:val="20"/>
          <w:szCs w:val="20"/>
        </w:rPr>
      </w:pPr>
      <w:r>
        <w:rPr>
          <w:sz w:val="20"/>
          <w:szCs w:val="20"/>
        </w:rPr>
        <w:t>Desarrolló y actualizó microplanes operativos para la eliminación de la malaria en focos; monitoreó el avance, la calidad y los resultados; propuso e implementó ajustes con base en indicadores epidemiológicos, de vigilancia y de control.</w:t>
      </w:r>
    </w:p>
    <w:p>
      <w:pPr>
        <w:pStyle w:val="ListParagraph"/>
        <w:numPr>
          <w:ilvl w:val="0"/>
          <w:numId w:val="2"/>
        </w:numPr>
        <w:spacing w:lineRule="auto" w:line="240" w:before="0" w:after="30"/>
        <w:rPr>
          <w:sz w:val="20"/>
          <w:szCs w:val="20"/>
        </w:rPr>
      </w:pPr>
      <w:r>
        <w:rPr>
          <w:sz w:val="20"/>
          <w:szCs w:val="20"/>
        </w:rPr>
        <w:t>Lideró el análisis de datos e indicadores epidemiológicos y operativos para apoyar la toma de decisiones oportuna orientada a eliminar la transmisión de malaria a nivel municipal.</w:t>
      </w:r>
    </w:p>
    <w:p>
      <w:pPr>
        <w:pStyle w:val="ListParagraph"/>
        <w:numPr>
          <w:ilvl w:val="0"/>
          <w:numId w:val="2"/>
        </w:numPr>
        <w:spacing w:lineRule="auto" w:line="240" w:before="0" w:after="30"/>
        <w:rPr>
          <w:sz w:val="20"/>
          <w:szCs w:val="20"/>
        </w:rPr>
      </w:pPr>
      <w:r>
        <w:rPr>
          <w:sz w:val="20"/>
          <w:szCs w:val="20"/>
        </w:rPr>
        <w:t>Capacitó y supervisó al personal de salud y a la red de colaboradores comunitarios a nivel regional, provincial y local, asegurando el cumplimiento de los estándares técnicos de calidad establecidos en las normas.</w:t>
      </w:r>
    </w:p>
    <w:p>
      <w:pPr>
        <w:pStyle w:val="ListParagraph"/>
        <w:numPr>
          <w:ilvl w:val="0"/>
          <w:numId w:val="2"/>
        </w:numPr>
        <w:spacing w:lineRule="auto" w:line="240" w:before="0" w:after="30"/>
        <w:rPr>
          <w:sz w:val="20"/>
          <w:szCs w:val="20"/>
        </w:rPr>
      </w:pPr>
      <w:r>
        <w:rPr>
          <w:sz w:val="20"/>
          <w:szCs w:val="20"/>
        </w:rPr>
        <w:t>Coordinó negociaciones intersectoriales y elaboró informes mensuales de avance; gestionó la disponibilidad de equipos, insumos y materiales de diagnóstico y tratamiento para asegurar la ejecución de las actividades programáticas.</w:t>
      </w:r>
    </w:p>
    <w:p>
      <w:pPr>
        <w:pStyle w:val="Normal"/>
        <w:spacing w:before="90" w:after="0"/>
        <w:rPr>
          <w:sz w:val="21"/>
          <w:szCs w:val="21"/>
        </w:rPr>
      </w:pPr>
      <w:r>
        <w:rPr>
          <w:b/>
          <w:bCs/>
          <w:sz w:val="21"/>
          <w:szCs w:val="21"/>
        </w:rPr>
        <w:t>Servicio Nacional de Salud</w:t>
      </w:r>
      <w:r>
        <w:rPr>
          <w:color w:val="555555"/>
          <w:sz w:val="21"/>
          <w:szCs w:val="21"/>
        </w:rPr>
        <w:t xml:space="preserve">  República Dominicana</w:t>
        <w:tab/>
        <w:tab/>
        <w:tab/>
        <w:t xml:space="preserve">                              </w:t>
        <w:tab/>
        <w:tab/>
        <w:t xml:space="preserve">                              2020 – 2021</w:t>
      </w:r>
    </w:p>
    <w:p>
      <w:pPr>
        <w:pStyle w:val="Normal"/>
        <w:spacing w:before="0" w:after="20"/>
        <w:rPr>
          <w:sz w:val="21"/>
          <w:szCs w:val="21"/>
        </w:rPr>
      </w:pPr>
      <w:r>
        <w:rPr>
          <w:b/>
          <w:bCs/>
          <w:i/>
          <w:iCs/>
          <w:color w:val="1B3A6B"/>
          <w:sz w:val="21"/>
          <w:szCs w:val="21"/>
        </w:rPr>
        <w:t>MÉDICA GENERAL</w:t>
      </w:r>
    </w:p>
    <w:p>
      <w:pPr>
        <w:pStyle w:val="ListParagraph"/>
        <w:numPr>
          <w:ilvl w:val="0"/>
          <w:numId w:val="2"/>
        </w:numPr>
        <w:spacing w:lineRule="auto" w:line="240" w:before="0" w:after="30"/>
        <w:rPr>
          <w:sz w:val="20"/>
          <w:szCs w:val="20"/>
        </w:rPr>
      </w:pPr>
      <w:r>
        <w:rPr>
          <w:sz w:val="20"/>
          <w:szCs w:val="20"/>
        </w:rPr>
        <w:t>Brindó atención clínica dentro del servicio nacional de salud de la República Dominicana.</w:t>
      </w:r>
    </w:p>
    <w:p>
      <w:pPr>
        <w:pStyle w:val="ListParagraph"/>
        <w:numPr>
          <w:ilvl w:val="0"/>
          <w:numId w:val="2"/>
        </w:numPr>
        <w:spacing w:lineRule="auto" w:line="240" w:before="0" w:after="30"/>
        <w:rPr>
          <w:sz w:val="20"/>
          <w:szCs w:val="20"/>
        </w:rPr>
      </w:pPr>
      <w:r>
        <w:rPr>
          <w:sz w:val="20"/>
          <w:szCs w:val="20"/>
        </w:rPr>
        <w:t>Elaboró y mantuvo registros clínicos e informes estadísticos de morbilidad, apoyando la toma de decisiones y el cumplimiento de los indicadores de salud pública de la institución.</w:t>
      </w:r>
    </w:p>
    <w:p>
      <w:pPr>
        <w:pStyle w:val="Normal"/>
        <w:pBdr>
          <w:bottom w:val="single" w:sz="6" w:space="1" w:color="000000"/>
        </w:pBdr>
        <w:spacing w:before="140" w:after="40"/>
        <w:rPr/>
      </w:pPr>
      <w:r>
        <w:rPr>
          <w:b/>
          <w:bCs/>
          <w:color w:val="1B3A6B"/>
          <w:sz w:val="22"/>
          <w:szCs w:val="22"/>
        </w:rPr>
        <w:t>EDUCACIÓN Y FORMACIÓN</w:t>
      </w:r>
    </w:p>
    <w:p>
      <w:pPr>
        <w:pStyle w:val="Normal"/>
        <w:spacing w:before="60" w:after="0"/>
        <w:rPr>
          <w:sz w:val="20"/>
          <w:szCs w:val="20"/>
        </w:rPr>
      </w:pPr>
      <w:r>
        <w:rPr>
          <w:b/>
          <w:bCs/>
          <w:sz w:val="20"/>
          <w:szCs w:val="20"/>
        </w:rPr>
        <w:t>Doctora en Medicina (M.D.)</w:t>
      </w:r>
      <w:r>
        <w:rPr>
          <w:sz w:val="20"/>
          <w:szCs w:val="20"/>
        </w:rPr>
        <w:t xml:space="preserve">  ·  Universidad Autónoma de Santo Domingo (UASD)</w:t>
      </w:r>
    </w:p>
    <w:p>
      <w:pPr>
        <w:pStyle w:val="Normal"/>
        <w:spacing w:before="40" w:after="0"/>
        <w:rPr>
          <w:sz w:val="20"/>
          <w:szCs w:val="20"/>
        </w:rPr>
      </w:pPr>
      <w:r>
        <w:rPr>
          <w:b/>
          <w:bCs/>
          <w:sz w:val="20"/>
          <w:szCs w:val="20"/>
        </w:rPr>
        <w:t>Diplomado en Auditoría Médica</w:t>
      </w:r>
      <w:r>
        <w:rPr>
          <w:sz w:val="20"/>
          <w:szCs w:val="20"/>
        </w:rPr>
        <w:t xml:space="preserve">  ·  Universidad Iberoamericana</w:t>
      </w:r>
    </w:p>
    <w:p>
      <w:pPr>
        <w:pStyle w:val="Normal"/>
        <w:spacing w:before="40" w:after="0"/>
        <w:rPr>
          <w:sz w:val="20"/>
          <w:szCs w:val="20"/>
        </w:rPr>
      </w:pPr>
      <w:r>
        <w:rPr>
          <w:b/>
          <w:bCs/>
          <w:sz w:val="20"/>
          <w:szCs w:val="20"/>
        </w:rPr>
        <w:t>Formación en Competencias Profesionales</w:t>
      </w:r>
      <w:r>
        <w:rPr>
          <w:sz w:val="20"/>
          <w:szCs w:val="20"/>
        </w:rPr>
        <w:t xml:space="preserve">  ·  INFOTEP</w:t>
      </w:r>
    </w:p>
    <w:p>
      <w:pPr>
        <w:pStyle w:val="ListParagraph"/>
        <w:numPr>
          <w:ilvl w:val="0"/>
          <w:numId w:val="2"/>
        </w:numPr>
        <w:spacing w:lineRule="auto" w:line="240" w:before="0" w:after="30"/>
        <w:rPr>
          <w:sz w:val="20"/>
          <w:szCs w:val="20"/>
        </w:rPr>
      </w:pPr>
      <w:r>
        <w:rPr>
          <w:sz w:val="20"/>
          <w:szCs w:val="20"/>
        </w:rPr>
        <w:t>Secretariado Ejecutivo Computarizado · Auxiliar de Contabilidad · Suite de Microsoft Office</w:t>
      </w:r>
    </w:p>
    <w:p>
      <w:pPr>
        <w:pStyle w:val="Normal"/>
        <w:pBdr>
          <w:bottom w:val="single" w:sz="6" w:space="1" w:color="000000"/>
        </w:pBdr>
        <w:spacing w:before="140" w:after="40"/>
        <w:rPr/>
      </w:pPr>
      <w:r>
        <w:rPr>
          <w:b/>
          <w:bCs/>
          <w:color w:val="1B3A6B"/>
          <w:sz w:val="22"/>
          <w:szCs w:val="22"/>
        </w:rPr>
        <w:t>COMPETENCIAS PRINCIPALES</w:t>
      </w:r>
    </w:p>
    <w:p>
      <w:pPr>
        <w:pStyle w:val="Normal"/>
        <w:spacing w:lineRule="auto" w:line="262" w:before="60" w:after="0"/>
        <w:jc w:val="start"/>
        <w:rPr/>
      </w:pPr>
      <w:r>
        <w:rPr>
          <w:sz w:val="17"/>
          <w:szCs w:val="17"/>
        </w:rPr>
        <w:t>Gestión de Focos de Malaria y Operaciones de Eliminación (DTI-R de la OPS/OMS) – Vigilancia Epidemiológica y Análisis de Datos – Microplanificación Operativa</w:t>
        <w:br/>
        <w:t>Coordinación de Detección, Diagnóstico, Investigación y Respuesta de Casos – Capacitación y Supervisión de Personal de Salud y Redes Comunitarias</w:t>
        <w:br/>
        <w:t>Coordinación Intersectorial – Informes de Avance de Programas – Práctica Clínica y Documentación Médica (SNS) – Liderazgo – Trabajo en Equipo – Microsoft Office</w:t>
      </w:r>
    </w:p>
    <w:p>
      <w:pPr>
        <w:pStyle w:val="Normal"/>
        <w:pBdr>
          <w:bottom w:val="single" w:sz="6" w:space="1" w:color="000000"/>
        </w:pBdr>
        <w:spacing w:before="140" w:after="40"/>
        <w:jc w:val="start"/>
        <w:rPr/>
      </w:pPr>
      <w:r>
        <w:rPr>
          <w:b/>
          <w:bCs/>
          <w:color w:val="1B3A6B"/>
          <w:sz w:val="22"/>
          <w:szCs w:val="22"/>
        </w:rPr>
        <w:t>REFERENCIAS</w:t>
      </w:r>
    </w:p>
    <w:p>
      <w:pPr>
        <w:pStyle w:val="Normal"/>
        <w:spacing w:before="60" w:after="0"/>
        <w:rPr/>
      </w:pPr>
      <w:r>
        <w:rPr>
          <w:b/>
          <w:bCs/>
          <w:sz w:val="18"/>
          <w:szCs w:val="18"/>
        </w:rPr>
        <w:t>Dra. Ana María Acosta</w:t>
      </w:r>
      <w:r>
        <w:rPr>
          <w:sz w:val="18"/>
          <w:szCs w:val="18"/>
        </w:rPr>
        <w:t xml:space="preserve">  —  Directora Provincial de Salud, Pedernales</w:t>
      </w:r>
    </w:p>
    <w:p>
      <w:pPr>
        <w:pStyle w:val="Normal"/>
        <w:spacing w:before="30" w:after="0"/>
        <w:rPr/>
      </w:pPr>
      <w:r>
        <w:rPr>
          <w:b/>
          <w:bCs/>
          <w:sz w:val="18"/>
          <w:szCs w:val="18"/>
        </w:rPr>
        <w:t>Dra. Ruth Valdez</w:t>
      </w:r>
      <w:r>
        <w:rPr>
          <w:sz w:val="18"/>
          <w:szCs w:val="18"/>
        </w:rPr>
        <w:t xml:space="preserve">  —  Fundación Valdez, Escuela de Familias</w:t>
      </w:r>
    </w:p>
    <w:p>
      <w:pPr>
        <w:pStyle w:val="Normal"/>
        <w:spacing w:before="30" w:after="0"/>
        <w:rPr/>
      </w:pPr>
      <w:r>
        <w:rPr>
          <w:i/>
          <w:iCs/>
          <w:color w:val="555555"/>
          <w:sz w:val="17"/>
          <w:szCs w:val="17"/>
        </w:rPr>
        <w:t>Datos de contacto disponibles a solicitud.</w:t>
      </w:r>
    </w:p>
    <w:sectPr>
      <w:type w:val="nextPage"/>
      <w:pgSz w:w="12240" w:h="15840"/>
      <w:pgMar w:left="900" w:right="900" w:gutter="0" w:header="0" w:top="720" w:footer="0" w:bottom="5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Wingdings">
    <w:charset w:val="02"/>
    <w:family w:val="auto"/>
    <w:pitch w:val="default"/>
  </w:font>
  <w:font w:name="Wingdings 2">
    <w:charset w:val="02"/>
    <w:family w:val="auto"/>
    <w:pitch w:val="default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"/>
      <w:lvlJc w:val="start"/>
      <w:pPr>
        <w:tabs>
          <w:tab w:val="num" w:pos="0"/>
        </w:tabs>
        <w:ind w:star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"/>
      <w:lvlJc w:val="start"/>
      <w:pPr>
        <w:tabs>
          <w:tab w:val="num" w:pos="0"/>
        </w:tabs>
        <w:ind w:start="1440" w:hanging="360"/>
      </w:pPr>
      <w:rPr>
        <w:rFonts w:ascii="Wingdings 2" w:hAnsi="Wingdings 2" w:cs="Wingdings 2" w:hint="default"/>
      </w:rPr>
    </w:lvl>
    <w:lvl w:ilvl="2">
      <w:start w:val="1"/>
      <w:numFmt w:val="bullet"/>
      <w:lvlText w:val="■"/>
      <w:lvlJc w:val="start"/>
      <w:pPr>
        <w:tabs>
          <w:tab w:val="num" w:pos="0"/>
        </w:tabs>
        <w:ind w:star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"/>
      <w:lvlJc w:val="start"/>
      <w:pPr>
        <w:tabs>
          <w:tab w:val="num" w:pos="0"/>
        </w:tabs>
        <w:ind w:star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"/>
      <w:lvlJc w:val="start"/>
      <w:pPr>
        <w:tabs>
          <w:tab w:val="num" w:pos="0"/>
        </w:tabs>
        <w:ind w:start="3600" w:hanging="360"/>
      </w:pPr>
      <w:rPr>
        <w:rFonts w:ascii="Wingdings 2" w:hAnsi="Wingdings 2" w:cs="Wingdings 2" w:hint="default"/>
      </w:rPr>
    </w:lvl>
    <w:lvl w:ilvl="5">
      <w:start w:val="1"/>
      <w:numFmt w:val="bullet"/>
      <w:lvlText w:val="■"/>
      <w:lvlJc w:val="start"/>
      <w:pPr>
        <w:tabs>
          <w:tab w:val="num" w:pos="0"/>
        </w:tabs>
        <w:ind w:start="43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"/>
      <w:lvlJc w:val="start"/>
      <w:pPr>
        <w:tabs>
          <w:tab w:val="num" w:pos="0"/>
        </w:tabs>
        <w:ind w:star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"/>
      <w:lvlJc w:val="start"/>
      <w:pPr>
        <w:tabs>
          <w:tab w:val="num" w:pos="0"/>
        </w:tabs>
        <w:ind w:star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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"/>
      <w:lvlJc w:val="start"/>
      <w:pPr>
        <w:tabs>
          <w:tab w:val="num" w:pos="0"/>
        </w:tabs>
        <w:ind w:star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"/>
      <w:lvlJc w:val="start"/>
      <w:pPr>
        <w:tabs>
          <w:tab w:val="num" w:pos="0"/>
        </w:tabs>
        <w:ind w:start="1440" w:hanging="360"/>
      </w:pPr>
      <w:rPr>
        <w:rFonts w:ascii="Wingdings 2" w:hAnsi="Wingdings 2" w:cs="Wingdings 2" w:hint="default"/>
      </w:rPr>
    </w:lvl>
    <w:lvl w:ilvl="2">
      <w:start w:val="1"/>
      <w:numFmt w:val="bullet"/>
      <w:lvlText w:val="■"/>
      <w:lvlJc w:val="start"/>
      <w:pPr>
        <w:tabs>
          <w:tab w:val="num" w:pos="0"/>
        </w:tabs>
        <w:ind w:star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"/>
      <w:lvlJc w:val="start"/>
      <w:pPr>
        <w:tabs>
          <w:tab w:val="num" w:pos="0"/>
        </w:tabs>
        <w:ind w:star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"/>
      <w:lvlJc w:val="start"/>
      <w:pPr>
        <w:tabs>
          <w:tab w:val="num" w:pos="0"/>
        </w:tabs>
        <w:ind w:start="3600" w:hanging="360"/>
      </w:pPr>
      <w:rPr>
        <w:rFonts w:ascii="Wingdings 2" w:hAnsi="Wingdings 2" w:cs="Wingdings 2" w:hint="default"/>
      </w:rPr>
    </w:lvl>
    <w:lvl w:ilvl="5">
      <w:start w:val="1"/>
      <w:numFmt w:val="bullet"/>
      <w:lvlText w:val="■"/>
      <w:lvlJc w:val="start"/>
      <w:pPr>
        <w:tabs>
          <w:tab w:val="num" w:pos="0"/>
        </w:tabs>
        <w:ind w:start="43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"/>
      <w:lvlJc w:val="start"/>
      <w:pPr>
        <w:tabs>
          <w:tab w:val="num" w:pos="0"/>
        </w:tabs>
        <w:ind w:star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"/>
      <w:lvlJc w:val="start"/>
      <w:pPr>
        <w:tabs>
          <w:tab w:val="num" w:pos="0"/>
        </w:tabs>
        <w:ind w:star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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40"/>
  <w:defaultTabStop w:val="720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Calibri" w:cs="Calibri"/>
      <w:color w:val="auto"/>
      <w:kern w:val="0"/>
      <w:sz w:val="20"/>
      <w:szCs w:val="20"/>
      <w:lang w:val="en-US" w:eastAsia="zh-CN" w:bidi="hi-IN"/>
    </w:rPr>
  </w:style>
  <w:style w:type="paragraph" w:styleId="Heading1">
    <w:name w:val="heading 1"/>
    <w:basedOn w:val="Heading"/>
    <w:qFormat/>
    <w:pPr/>
    <w:rPr>
      <w:color w:val="2E74B5"/>
      <w:sz w:val="32"/>
      <w:szCs w:val="32"/>
    </w:rPr>
  </w:style>
  <w:style w:type="paragraph" w:styleId="Heading2">
    <w:name w:val="heading 2"/>
    <w:basedOn w:val="Heading"/>
    <w:qFormat/>
    <w:pPr/>
    <w:rPr>
      <w:color w:val="2E74B5"/>
      <w:sz w:val="26"/>
      <w:szCs w:val="26"/>
    </w:rPr>
  </w:style>
  <w:style w:type="paragraph" w:styleId="Heading3">
    <w:name w:val="heading 3"/>
    <w:basedOn w:val="Heading"/>
    <w:qFormat/>
    <w:pPr/>
    <w:rPr>
      <w:color w:val="1F4D78"/>
      <w:sz w:val="24"/>
      <w:szCs w:val="24"/>
    </w:rPr>
  </w:style>
  <w:style w:type="paragraph" w:styleId="Heading4">
    <w:name w:val="heading 4"/>
    <w:basedOn w:val="Heading"/>
    <w:qFormat/>
    <w:pPr/>
    <w:rPr>
      <w:i/>
      <w:iCs/>
      <w:color w:val="2E74B5"/>
    </w:rPr>
  </w:style>
  <w:style w:type="paragraph" w:styleId="Heading5">
    <w:name w:val="heading 5"/>
    <w:basedOn w:val="Heading"/>
    <w:qFormat/>
    <w:pPr/>
    <w:rPr>
      <w:color w:val="2E74B5"/>
    </w:rPr>
  </w:style>
  <w:style w:type="paragraph" w:styleId="Heading6">
    <w:name w:val="heading 6"/>
    <w:basedOn w:val="Heading"/>
    <w:qFormat/>
    <w:pPr/>
    <w:rPr>
      <w:color w:val="1F4D78"/>
    </w:rPr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Charactersuser">
    <w:name w:val="Footnote Characters (user)"/>
    <w:uiPriority w:val="99"/>
    <w:semiHidden/>
    <w:unhideWhenUsed/>
    <w:qFormat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TextChar">
    <w:name w:val="Footnote Text Char"/>
    <w:link w:val="FootnoteText"/>
    <w:uiPriority w:val="99"/>
    <w:semiHidden/>
    <w:unhideWhenUsed/>
    <w:qFormat/>
    <w:rPr>
      <w:sz w:val="20"/>
      <w:szCs w:val="20"/>
    </w:rPr>
  </w:style>
  <w:style w:type="character" w:styleId="EndnoteCharactersuser">
    <w:name w:val="Endnote Characters (user)"/>
    <w:uiPriority w:val="99"/>
    <w:semiHidden/>
    <w:unhideWhenUsed/>
    <w:qFormat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TextChar">
    <w:name w:val="Endnote Text Char"/>
    <w:link w:val="EndnoteText"/>
    <w:uiPriority w:val="99"/>
    <w:semiHidden/>
    <w:unhideWhenUsed/>
    <w:qFormat/>
    <w:rPr>
      <w:sz w:val="20"/>
      <w:szCs w:val="20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Title">
    <w:name w:val="Title"/>
    <w:basedOn w:val="Heading"/>
    <w:qFormat/>
    <w:pPr/>
    <w:rPr>
      <w:sz w:val="56"/>
      <w:szCs w:val="56"/>
    </w:rPr>
  </w:style>
  <w:style w:type="paragraph" w:styleId="StrongEmphasis">
    <w:name w:val="Strong Emphasis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Calibri" w:cs="Calibri"/>
      <w:b/>
      <w:bCs/>
      <w:color w:val="auto"/>
      <w:kern w:val="0"/>
      <w:sz w:val="20"/>
      <w:szCs w:val="20"/>
      <w:lang w:val="en-US" w:eastAsia="zh-CN" w:bidi="hi-IN"/>
    </w:rPr>
  </w:style>
  <w:style w:type="paragraph" w:styleId="ListParagraph">
    <w:name w:val="List Paragraph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Calibri" w:cs="Calibri"/>
      <w:color w:val="auto"/>
      <w:kern w:val="0"/>
      <w:sz w:val="20"/>
      <w:szCs w:val="20"/>
      <w:lang w:val="en-US" w:eastAsia="zh-CN" w:bidi="hi-IN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mileidyclaudio.com/" TargetMode="External"/><Relationship Id="rId3" Type="http://schemas.openxmlformats.org/officeDocument/2006/relationships/hyperlink" Target="mailto:mileidymartinez20@hotmail.com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LibreOffice/26.2.3.2$Linux_X86_64 LibreOffice_project/620$Build-2</Application>
  <AppVersion>15.0000</AppVersion>
  <Pages>1</Pages>
  <Words>494</Words>
  <Characters>2988</Characters>
  <CharactersWithSpaces>3589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2026-07-10T23:09:30Z</dcterms:created>
  <dc:creator>Un-named</dc:creator>
  <dc:description/>
  <dc:language>en-US</dc:language>
  <cp:lastModifiedBy/>
  <cp:lastPrinted>2026-07-10T19:25:33Z</cp:lastPrinted>
  <dcterms:modified xsi:type="dcterms:W3CDTF">2026-07-10T19:25:37Z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